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EE31A" w14:textId="77777777" w:rsidR="00667D41" w:rsidRPr="005812DA" w:rsidRDefault="00667D41" w:rsidP="00667D41">
      <w:pPr>
        <w:spacing w:after="0"/>
        <w:rPr>
          <w:rFonts w:ascii="Arial Unicode MS" w:eastAsia="Arial Unicode MS" w:hAnsi="Arial Unicode MS" w:cs="Arial Unicode MS"/>
          <w:color w:val="002060"/>
          <w:sz w:val="48"/>
          <w:szCs w:val="48"/>
        </w:rPr>
      </w:pPr>
      <w:r w:rsidRPr="005812DA">
        <w:rPr>
          <w:rFonts w:ascii="Arial Unicode MS" w:eastAsia="Arial Unicode MS" w:hAnsi="Arial Unicode MS" w:cs="Arial Unicode MS"/>
          <w:noProof/>
          <w:color w:val="002060"/>
          <w:sz w:val="48"/>
          <w:szCs w:val="48"/>
          <w:lang w:eastAsia="nb-NO"/>
        </w:rPr>
        <w:drawing>
          <wp:anchor distT="0" distB="0" distL="114300" distR="114300" simplePos="0" relativeHeight="251659264" behindDoc="0" locked="0" layoutInCell="1" allowOverlap="1" wp14:anchorId="2812C183" wp14:editId="72967596">
            <wp:simplePos x="0" y="0"/>
            <wp:positionH relativeFrom="column">
              <wp:posOffset>3977005</wp:posOffset>
            </wp:positionH>
            <wp:positionV relativeFrom="paragraph">
              <wp:posOffset>-455930</wp:posOffset>
            </wp:positionV>
            <wp:extent cx="1781175" cy="460375"/>
            <wp:effectExtent l="0" t="0" r="9525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2DA">
        <w:rPr>
          <w:rFonts w:ascii="Arial Unicode MS" w:eastAsia="Arial Unicode MS" w:hAnsi="Arial Unicode MS" w:cs="Arial Unicode MS"/>
          <w:color w:val="002060"/>
          <w:sz w:val="48"/>
          <w:szCs w:val="48"/>
        </w:rPr>
        <w:t>Fakta-ark</w:t>
      </w:r>
      <w:r>
        <w:rPr>
          <w:rFonts w:ascii="Arial Unicode MS" w:eastAsia="Arial Unicode MS" w:hAnsi="Arial Unicode MS" w:cs="Arial Unicode MS"/>
          <w:color w:val="002060"/>
          <w:sz w:val="48"/>
          <w:szCs w:val="48"/>
        </w:rPr>
        <w:t xml:space="preserve"> om likestilling</w:t>
      </w:r>
    </w:p>
    <w:p w14:paraId="32CB23B4" w14:textId="77777777" w:rsidR="006302E0" w:rsidRPr="00453725" w:rsidRDefault="00E4307F" w:rsidP="00667D41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453725">
        <w:rPr>
          <w:rFonts w:ascii="Arial" w:hAnsi="Arial" w:cs="Arial"/>
          <w:b/>
        </w:rPr>
        <w:t>Hva er likestilling?</w:t>
      </w:r>
      <w:r w:rsidR="0081296E" w:rsidRPr="00453725">
        <w:rPr>
          <w:rFonts w:ascii="Arial" w:hAnsi="Arial" w:cs="Arial"/>
          <w:b/>
        </w:rPr>
        <w:t xml:space="preserve"> </w:t>
      </w:r>
    </w:p>
    <w:p w14:paraId="57B67C4E" w14:textId="2F469D57" w:rsidR="00EA6AE9" w:rsidRDefault="003844EF" w:rsidP="00973DD8">
      <w:pPr>
        <w:spacing w:after="0"/>
        <w:rPr>
          <w:rFonts w:ascii="Arial" w:hAnsi="Arial" w:cs="Arial"/>
        </w:rPr>
      </w:pPr>
      <w:r w:rsidRPr="002C47B4">
        <w:rPr>
          <w:rFonts w:ascii="Arial" w:hAnsi="Arial" w:cs="Arial"/>
        </w:rPr>
        <w:t>Likestilling er</w:t>
      </w:r>
      <w:r w:rsidR="00E4307F" w:rsidRPr="002C47B4">
        <w:rPr>
          <w:rFonts w:ascii="Arial" w:hAnsi="Arial" w:cs="Arial"/>
        </w:rPr>
        <w:t xml:space="preserve"> at alle personer skal ha like rettigheter og muligheter i samfunnet, uavhengig av kjønn, funksjonsevne, seksuell orientering, alder, etnisitet og religion.</w:t>
      </w:r>
    </w:p>
    <w:p w14:paraId="430ECED9" w14:textId="77777777" w:rsidR="00973DD8" w:rsidRDefault="00973DD8" w:rsidP="00973DD8">
      <w:pPr>
        <w:spacing w:after="0"/>
        <w:rPr>
          <w:rFonts w:ascii="Arial" w:hAnsi="Arial" w:cs="Arial"/>
        </w:rPr>
      </w:pPr>
    </w:p>
    <w:p w14:paraId="0ECBA0BE" w14:textId="77777777" w:rsidR="002019AB" w:rsidRPr="002019AB" w:rsidRDefault="002019AB" w:rsidP="00667D41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2019AB">
        <w:rPr>
          <w:rFonts w:ascii="Arial" w:hAnsi="Arial" w:cs="Arial"/>
          <w:b/>
        </w:rPr>
        <w:t xml:space="preserve">Likestilling for </w:t>
      </w:r>
      <w:r>
        <w:rPr>
          <w:rFonts w:ascii="Arial" w:hAnsi="Arial" w:cs="Arial"/>
          <w:b/>
        </w:rPr>
        <w:t>mennesker med nedsatt funksjonsevne</w:t>
      </w:r>
    </w:p>
    <w:p w14:paraId="34E25BC9" w14:textId="482F63C2" w:rsidR="008B5566" w:rsidRDefault="002019AB" w:rsidP="00453725">
      <w:pPr>
        <w:rPr>
          <w:rFonts w:ascii="Arial" w:hAnsi="Arial" w:cs="Arial"/>
        </w:rPr>
      </w:pPr>
      <w:r w:rsidRPr="002019AB">
        <w:rPr>
          <w:rFonts w:ascii="Arial" w:hAnsi="Arial" w:cs="Arial"/>
        </w:rPr>
        <w:t>Likestilling knyttet til personer med nedsatt funksjonsevne, betyr at personer med nedsatt funksjonsevne skal ha samme rettigheter som andre, og ha like gode muligheter som andre til å leve et selvstendig liv og delta i samfunnet.</w:t>
      </w:r>
      <w:r>
        <w:rPr>
          <w:rFonts w:ascii="Arial" w:hAnsi="Arial" w:cs="Arial"/>
        </w:rPr>
        <w:t xml:space="preserve"> </w:t>
      </w:r>
    </w:p>
    <w:p w14:paraId="6AE801C9" w14:textId="77777777" w:rsidR="008B5566" w:rsidRPr="00606DC5" w:rsidRDefault="002019AB" w:rsidP="00606DC5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606DC5">
        <w:rPr>
          <w:rFonts w:ascii="Arial" w:hAnsi="Arial" w:cs="Arial"/>
          <w:b/>
        </w:rPr>
        <w:t xml:space="preserve">Likestillingsvirkemidlene </w:t>
      </w:r>
    </w:p>
    <w:p w14:paraId="61997F11" w14:textId="29903890" w:rsidR="008B5566" w:rsidRDefault="008B5566" w:rsidP="0045372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Samfunnets virkemidler for å oppnå likestilling for mennesker med nedsatt funksjonsevne er </w:t>
      </w:r>
      <w:r w:rsidR="00234AAD">
        <w:rPr>
          <w:rFonts w:ascii="Arial" w:hAnsi="Arial" w:cs="Arial"/>
        </w:rPr>
        <w:t xml:space="preserve">både </w:t>
      </w:r>
      <w:r w:rsidR="002019AB" w:rsidRPr="002019AB">
        <w:rPr>
          <w:rFonts w:ascii="Arial" w:hAnsi="Arial" w:cs="Arial"/>
        </w:rPr>
        <w:t xml:space="preserve">å utforme </w:t>
      </w:r>
      <w:r>
        <w:rPr>
          <w:rFonts w:ascii="Arial" w:hAnsi="Arial" w:cs="Arial"/>
        </w:rPr>
        <w:t xml:space="preserve">et </w:t>
      </w:r>
      <w:r w:rsidR="002019AB" w:rsidRPr="002019AB">
        <w:rPr>
          <w:rFonts w:ascii="Arial" w:hAnsi="Arial" w:cs="Arial"/>
        </w:rPr>
        <w:t xml:space="preserve">samfunn </w:t>
      </w:r>
      <w:r>
        <w:rPr>
          <w:rFonts w:ascii="Arial" w:hAnsi="Arial" w:cs="Arial"/>
        </w:rPr>
        <w:t xml:space="preserve">som er </w:t>
      </w:r>
      <w:r w:rsidR="002019AB" w:rsidRPr="002019AB">
        <w:rPr>
          <w:rFonts w:ascii="Arial" w:hAnsi="Arial" w:cs="Arial"/>
        </w:rPr>
        <w:t>tilgjengelig for alle</w:t>
      </w:r>
      <w:r>
        <w:rPr>
          <w:rFonts w:ascii="Arial" w:hAnsi="Arial" w:cs="Arial"/>
        </w:rPr>
        <w:t>,</w:t>
      </w:r>
      <w:r w:rsidR="002019AB" w:rsidRPr="002019AB">
        <w:rPr>
          <w:rFonts w:ascii="Arial" w:hAnsi="Arial" w:cs="Arial"/>
        </w:rPr>
        <w:t xml:space="preserve"> og </w:t>
      </w:r>
      <w:r>
        <w:rPr>
          <w:rFonts w:ascii="Arial" w:hAnsi="Arial" w:cs="Arial"/>
        </w:rPr>
        <w:t xml:space="preserve">å </w:t>
      </w:r>
      <w:r w:rsidR="000D2F07">
        <w:rPr>
          <w:rFonts w:ascii="Arial" w:hAnsi="Arial" w:cs="Arial"/>
        </w:rPr>
        <w:t xml:space="preserve">gi </w:t>
      </w:r>
      <w:r w:rsidR="002019AB" w:rsidRPr="002019AB">
        <w:rPr>
          <w:rFonts w:ascii="Arial" w:hAnsi="Arial" w:cs="Arial"/>
        </w:rPr>
        <w:t>rett til nødvendig bistand for å leve et selvstendig liv, som assistanse og hjelpemidler.</w:t>
      </w:r>
      <w:r>
        <w:rPr>
          <w:rFonts w:ascii="Arial" w:hAnsi="Arial" w:cs="Arial"/>
        </w:rPr>
        <w:t xml:space="preserve"> </w:t>
      </w:r>
      <w:r w:rsidR="00234AAD">
        <w:rPr>
          <w:rFonts w:ascii="Arial" w:hAnsi="Arial" w:cs="Arial"/>
        </w:rPr>
        <w:t xml:space="preserve">Tilgjengeligheten gjelder det fysiske miljøet, til transport, til informasjon og kommunikasjon, samt andre tilbud og tjenester som er åpne for allmennheten. </w:t>
      </w:r>
      <w:r w:rsidR="00E979AD">
        <w:rPr>
          <w:rFonts w:ascii="Arial" w:hAnsi="Arial" w:cs="Arial"/>
        </w:rPr>
        <w:t>Diskrimineringsvernet er nedfelt i vårt regelverk.</w:t>
      </w:r>
    </w:p>
    <w:p w14:paraId="58ACA38A" w14:textId="77777777" w:rsidR="00667D41" w:rsidRPr="005A2CF5" w:rsidRDefault="00667D41" w:rsidP="00667D41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/>
        </w:rPr>
      </w:pPr>
      <w:r w:rsidRPr="005A2CF5">
        <w:rPr>
          <w:rFonts w:ascii="Arial" w:hAnsi="Arial" w:cs="Arial"/>
          <w:b/>
        </w:rPr>
        <w:t xml:space="preserve">FN-konvensjonen for mennesker med nedsatt funksjonsevne </w:t>
      </w:r>
    </w:p>
    <w:p w14:paraId="720AC257" w14:textId="2E93F6A1" w:rsidR="00EA6AE9" w:rsidRDefault="00C43760" w:rsidP="00D56B79">
      <w:pPr>
        <w:spacing w:after="0"/>
        <w:rPr>
          <w:rFonts w:ascii="Arial" w:hAnsi="Arial" w:cs="Arial"/>
        </w:rPr>
      </w:pPr>
      <w:hyperlink r:id="rId6" w:history="1">
        <w:r w:rsidR="00667D41" w:rsidRPr="00D56B79">
          <w:rPr>
            <w:rStyle w:val="Hyperkobling"/>
            <w:rFonts w:ascii="Arial" w:hAnsi="Arial" w:cs="Arial"/>
          </w:rPr>
          <w:t>FN-konvensjonen om rettighetene til mennesker med nedsatt funksjonsevne (CRPD)</w:t>
        </w:r>
      </w:hyperlink>
      <w:r w:rsidR="00667D41" w:rsidRPr="000F1744">
        <w:rPr>
          <w:rFonts w:ascii="Arial" w:hAnsi="Arial" w:cs="Arial"/>
        </w:rPr>
        <w:t xml:space="preserve"> </w:t>
      </w:r>
      <w:r w:rsidR="00667D41">
        <w:rPr>
          <w:rFonts w:ascii="Arial" w:hAnsi="Arial" w:cs="Arial"/>
        </w:rPr>
        <w:t>fastslår</w:t>
      </w:r>
      <w:r w:rsidR="00667D41" w:rsidRPr="000F1744">
        <w:rPr>
          <w:rFonts w:ascii="Arial" w:hAnsi="Arial" w:cs="Arial"/>
        </w:rPr>
        <w:t xml:space="preserve"> at funksjonshemmede har samme rettigheter som alle andre. Norge </w:t>
      </w:r>
      <w:r w:rsidR="00546952">
        <w:rPr>
          <w:rFonts w:ascii="Arial" w:hAnsi="Arial" w:cs="Arial"/>
        </w:rPr>
        <w:t xml:space="preserve">ratifiserte </w:t>
      </w:r>
      <w:r w:rsidR="00667D41" w:rsidRPr="000F1744">
        <w:rPr>
          <w:rFonts w:ascii="Arial" w:hAnsi="Arial" w:cs="Arial"/>
        </w:rPr>
        <w:t>konvensjonen i 2013.</w:t>
      </w:r>
      <w:r w:rsidR="00667D41">
        <w:rPr>
          <w:rFonts w:ascii="Arial" w:hAnsi="Arial" w:cs="Arial"/>
        </w:rPr>
        <w:t xml:space="preserve"> En av konvensjonens målsettinger er at mennesker med nedsatt funksjonsevne skal få et selvstendig liv og kunne delta fullt ut på alle livets områder. </w:t>
      </w:r>
    </w:p>
    <w:p w14:paraId="21CE8250" w14:textId="77777777" w:rsidR="00667D41" w:rsidRDefault="00667D41" w:rsidP="00D56B79">
      <w:pPr>
        <w:spacing w:after="0"/>
        <w:rPr>
          <w:rFonts w:ascii="Arial" w:hAnsi="Arial" w:cs="Arial"/>
        </w:rPr>
      </w:pPr>
    </w:p>
    <w:p w14:paraId="0A69F089" w14:textId="77777777" w:rsidR="00B45BC3" w:rsidRPr="00453725" w:rsidRDefault="00C25FC8" w:rsidP="00D56B79">
      <w:pPr>
        <w:pStyle w:val="Listeavsnitt"/>
        <w:numPr>
          <w:ilvl w:val="0"/>
          <w:numId w:val="2"/>
        </w:numPr>
        <w:spacing w:after="0"/>
        <w:rPr>
          <w:rFonts w:ascii="Arial" w:hAnsi="Arial" w:cs="Arial"/>
          <w:b/>
        </w:rPr>
      </w:pPr>
      <w:r w:rsidRPr="00453725">
        <w:rPr>
          <w:rFonts w:ascii="Arial" w:hAnsi="Arial" w:cs="Arial"/>
          <w:b/>
        </w:rPr>
        <w:t>Likestillings- og diskrimineringsloven</w:t>
      </w:r>
    </w:p>
    <w:p w14:paraId="5A1CAC7A" w14:textId="0168AF9C" w:rsidR="00777118" w:rsidRDefault="00C43760" w:rsidP="005A2CF5">
      <w:pPr>
        <w:rPr>
          <w:rFonts w:ascii="Arial" w:hAnsi="Arial" w:cs="Arial"/>
        </w:rPr>
      </w:pPr>
      <w:hyperlink r:id="rId7" w:history="1">
        <w:r w:rsidR="005A2CF5" w:rsidRPr="00D56B79">
          <w:rPr>
            <w:rStyle w:val="Hyperkobling"/>
            <w:rFonts w:ascii="Arial" w:hAnsi="Arial" w:cs="Arial"/>
          </w:rPr>
          <w:t>Likestillings- og diskrimineringsloven</w:t>
        </w:r>
      </w:hyperlink>
      <w:r w:rsidR="005A2CF5" w:rsidRPr="005A2CF5">
        <w:rPr>
          <w:rFonts w:ascii="Arial" w:hAnsi="Arial" w:cs="Arial"/>
        </w:rPr>
        <w:t xml:space="preserve"> </w:t>
      </w:r>
      <w:r w:rsidR="00453725">
        <w:rPr>
          <w:rFonts w:ascii="Arial" w:hAnsi="Arial" w:cs="Arial"/>
        </w:rPr>
        <w:t xml:space="preserve">trådte i kraft 1. januar 2018 og </w:t>
      </w:r>
      <w:r w:rsidR="005A2CF5" w:rsidRPr="005A2CF5">
        <w:rPr>
          <w:rFonts w:ascii="Arial" w:hAnsi="Arial" w:cs="Arial"/>
        </w:rPr>
        <w:t>har til formål å fremme likestilling og hindre diskriminering i alle deler av samfunnet.</w:t>
      </w:r>
      <w:r w:rsidR="005A2CF5">
        <w:rPr>
          <w:rFonts w:ascii="Arial" w:hAnsi="Arial" w:cs="Arial"/>
        </w:rPr>
        <w:t xml:space="preserve"> I §1 står det at </w:t>
      </w:r>
      <w:r w:rsidR="005A2CF5" w:rsidRPr="005A2CF5">
        <w:rPr>
          <w:rFonts w:ascii="Arial" w:hAnsi="Arial" w:cs="Arial"/>
        </w:rPr>
        <w:t xml:space="preserve">likestilling </w:t>
      </w:r>
      <w:r w:rsidR="005A2CF5">
        <w:rPr>
          <w:rFonts w:ascii="Arial" w:hAnsi="Arial" w:cs="Arial"/>
        </w:rPr>
        <w:t xml:space="preserve">betyr </w:t>
      </w:r>
      <w:r w:rsidR="005A2CF5" w:rsidRPr="005A2CF5">
        <w:rPr>
          <w:rFonts w:ascii="Arial" w:hAnsi="Arial" w:cs="Arial"/>
        </w:rPr>
        <w:t>likeverd, like muligheter og like rettigheter. Likestilling forutsetter tilg</w:t>
      </w:r>
      <w:r w:rsidR="00EC49B8">
        <w:rPr>
          <w:rFonts w:ascii="Arial" w:hAnsi="Arial" w:cs="Arial"/>
        </w:rPr>
        <w:t>jengelighet og tilrettelegging</w:t>
      </w:r>
      <w:r w:rsidR="005A2CF5" w:rsidRPr="005A2CF5">
        <w:rPr>
          <w:rFonts w:ascii="Arial" w:hAnsi="Arial" w:cs="Arial"/>
        </w:rPr>
        <w:t>. Loven skal bidra til å bygge ned samfunnsskapte funksjonshemmende barrierer, og hindre at nye skapes.</w:t>
      </w:r>
      <w:r w:rsidR="005A2CF5">
        <w:rPr>
          <w:rFonts w:ascii="Arial" w:hAnsi="Arial" w:cs="Arial"/>
        </w:rPr>
        <w:t xml:space="preserve"> </w:t>
      </w:r>
    </w:p>
    <w:p w14:paraId="1911B085" w14:textId="77777777" w:rsidR="00667D41" w:rsidRPr="002C47B4" w:rsidRDefault="005B1CC5" w:rsidP="00D56B79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Hvem har</w:t>
      </w:r>
      <w:r w:rsidR="00667D41" w:rsidRPr="002C47B4">
        <w:rPr>
          <w:rFonts w:ascii="Arial" w:hAnsi="Arial" w:cs="Arial"/>
          <w:b/>
        </w:rPr>
        <w:t xml:space="preserve"> ansvaret</w:t>
      </w:r>
      <w:r>
        <w:rPr>
          <w:rFonts w:ascii="Arial" w:hAnsi="Arial" w:cs="Arial"/>
          <w:b/>
        </w:rPr>
        <w:t xml:space="preserve"> for likestilling?</w:t>
      </w:r>
    </w:p>
    <w:p w14:paraId="56AD9CE1" w14:textId="28259F95" w:rsidR="005B1CC5" w:rsidRDefault="008C0D01" w:rsidP="00667D41">
      <w:pPr>
        <w:rPr>
          <w:rFonts w:ascii="Arial" w:hAnsi="Arial" w:cs="Arial"/>
          <w:color w:val="282828"/>
        </w:rPr>
      </w:pPr>
      <w:r>
        <w:rPr>
          <w:rFonts w:ascii="Arial" w:hAnsi="Arial" w:cs="Arial"/>
          <w:color w:val="282828"/>
        </w:rPr>
        <w:t xml:space="preserve">Offentlige myndigheter, arbeidslivets organisasjoner og arbeidsgivere er gitt </w:t>
      </w:r>
      <w:hyperlink r:id="rId8" w:anchor="KAPITTEL_4" w:history="1">
        <w:r w:rsidRPr="000911FC">
          <w:rPr>
            <w:rStyle w:val="Hyperkobling"/>
            <w:rFonts w:ascii="Arial" w:hAnsi="Arial" w:cs="Arial"/>
          </w:rPr>
          <w:t>en spesiell plikt til å arbeide for likestilling</w:t>
        </w:r>
      </w:hyperlink>
      <w:r w:rsidR="000911FC">
        <w:rPr>
          <w:rFonts w:ascii="Arial" w:hAnsi="Arial" w:cs="Arial"/>
          <w:color w:val="282828"/>
        </w:rPr>
        <w:t xml:space="preserve">. Innhold i undervisning og læremidler skal </w:t>
      </w:r>
      <w:r w:rsidR="00585FC8">
        <w:rPr>
          <w:rFonts w:ascii="Arial" w:hAnsi="Arial" w:cs="Arial"/>
          <w:color w:val="282828"/>
        </w:rPr>
        <w:t xml:space="preserve">videre </w:t>
      </w:r>
      <w:r w:rsidR="000911FC">
        <w:rPr>
          <w:rFonts w:ascii="Arial" w:hAnsi="Arial" w:cs="Arial"/>
          <w:color w:val="282828"/>
        </w:rPr>
        <w:t xml:space="preserve">bygge på likestillings- og diskrimineringslovens formål.   </w:t>
      </w:r>
    </w:p>
    <w:p w14:paraId="06E91C15" w14:textId="56AC32A3" w:rsidR="00667D41" w:rsidRDefault="00C43760" w:rsidP="00667D41">
      <w:pPr>
        <w:rPr>
          <w:rFonts w:ascii="Arial" w:hAnsi="Arial" w:cs="Arial"/>
        </w:rPr>
      </w:pPr>
      <w:hyperlink r:id="rId9" w:history="1">
        <w:r w:rsidRPr="00C43760">
          <w:rPr>
            <w:rStyle w:val="Hyperkobling"/>
            <w:rFonts w:ascii="Arial" w:hAnsi="Arial" w:cs="Arial"/>
          </w:rPr>
          <w:t>Kulturdepartementet (KUD</w:t>
        </w:r>
      </w:hyperlink>
      <w:r>
        <w:rPr>
          <w:rStyle w:val="Hyperkobling"/>
          <w:rFonts w:ascii="Arial" w:hAnsi="Arial" w:cs="Arial"/>
        </w:rPr>
        <w:t>)</w:t>
      </w:r>
      <w:r w:rsidR="00667D41" w:rsidRPr="002C47B4">
        <w:rPr>
          <w:rFonts w:ascii="Arial" w:hAnsi="Arial" w:cs="Arial"/>
        </w:rPr>
        <w:t xml:space="preserve"> har det overordnede ansvaret for den statlige likestillingspolitikken og lovgivningen på området.</w:t>
      </w:r>
    </w:p>
    <w:p w14:paraId="37E70A93" w14:textId="77777777" w:rsidR="00D56B79" w:rsidRDefault="00C43760" w:rsidP="00D56B79">
      <w:pPr>
        <w:rPr>
          <w:rFonts w:ascii="Arial" w:hAnsi="Arial" w:cs="Arial"/>
        </w:rPr>
      </w:pPr>
      <w:hyperlink r:id="rId10" w:history="1">
        <w:proofErr w:type="spellStart"/>
        <w:r w:rsidR="00D56B79" w:rsidRPr="00D56B79">
          <w:rPr>
            <w:rStyle w:val="Hyperkobling"/>
            <w:rFonts w:ascii="Arial" w:hAnsi="Arial" w:cs="Arial"/>
          </w:rPr>
          <w:t>Bufdir</w:t>
        </w:r>
        <w:proofErr w:type="spellEnd"/>
      </w:hyperlink>
      <w:r w:rsidR="00D56B79" w:rsidRPr="002C47B4">
        <w:rPr>
          <w:rFonts w:ascii="Arial" w:hAnsi="Arial" w:cs="Arial"/>
        </w:rPr>
        <w:t xml:space="preserve"> er fagdirektorat</w:t>
      </w:r>
      <w:bookmarkStart w:id="0" w:name="_GoBack"/>
      <w:bookmarkEnd w:id="0"/>
      <w:r w:rsidR="00D56B79" w:rsidRPr="002C47B4">
        <w:rPr>
          <w:rFonts w:ascii="Arial" w:hAnsi="Arial" w:cs="Arial"/>
        </w:rPr>
        <w:t xml:space="preserve">et for likestilling og ikke-diskriminering. De </w:t>
      </w:r>
      <w:r w:rsidR="00D56B79">
        <w:rPr>
          <w:rFonts w:ascii="Arial" w:hAnsi="Arial" w:cs="Arial"/>
        </w:rPr>
        <w:t xml:space="preserve">skal bidra til å </w:t>
      </w:r>
      <w:r w:rsidR="00D56B79" w:rsidRPr="002C47B4">
        <w:rPr>
          <w:rFonts w:ascii="Arial" w:hAnsi="Arial" w:cs="Arial"/>
        </w:rPr>
        <w:t xml:space="preserve">hindre diskriminering og bidra til likestilling på områdene kjønn, nedsatt funksjonsevne, seksuell orientering, kjønnsidentitet og kjønnsuttrykk og etnisitet og livssyn. </w:t>
      </w:r>
    </w:p>
    <w:p w14:paraId="358D850A" w14:textId="76A86665" w:rsidR="00667D41" w:rsidRPr="002C47B4" w:rsidRDefault="00C43760" w:rsidP="00667D41">
      <w:pPr>
        <w:rPr>
          <w:rFonts w:ascii="Arial" w:hAnsi="Arial" w:cs="Arial"/>
        </w:rPr>
      </w:pPr>
      <w:hyperlink r:id="rId11" w:history="1">
        <w:r w:rsidR="00667D41" w:rsidRPr="00D56B79">
          <w:rPr>
            <w:rStyle w:val="Hyperkobling"/>
            <w:rFonts w:ascii="Arial" w:hAnsi="Arial" w:cs="Arial"/>
          </w:rPr>
          <w:t>Likestillings- og diskrimineringsombudet (LDO)</w:t>
        </w:r>
      </w:hyperlink>
      <w:r w:rsidR="00667D41" w:rsidRPr="002C47B4">
        <w:rPr>
          <w:rFonts w:ascii="Arial" w:hAnsi="Arial" w:cs="Arial"/>
        </w:rPr>
        <w:t xml:space="preserve"> skal fremme likestilling og bekjempe diskriminering</w:t>
      </w:r>
      <w:r w:rsidR="00546952">
        <w:rPr>
          <w:rFonts w:ascii="Arial" w:hAnsi="Arial" w:cs="Arial"/>
        </w:rPr>
        <w:t>.</w:t>
      </w:r>
      <w:r w:rsidR="00667D41" w:rsidRPr="002C47B4">
        <w:rPr>
          <w:rFonts w:ascii="Arial" w:hAnsi="Arial" w:cs="Arial"/>
        </w:rPr>
        <w:t xml:space="preserve"> De gir juridisk veiledning til enkeltpersoner, organisasjoner, arbeidsgivere og offentlige myndigheter.</w:t>
      </w:r>
    </w:p>
    <w:p w14:paraId="1135B018" w14:textId="356D16BF" w:rsidR="00667D41" w:rsidRPr="002C47B4" w:rsidRDefault="00C43760" w:rsidP="00667D41">
      <w:pPr>
        <w:rPr>
          <w:rFonts w:ascii="Arial" w:hAnsi="Arial" w:cs="Arial"/>
        </w:rPr>
      </w:pPr>
      <w:hyperlink r:id="rId12" w:history="1">
        <w:r w:rsidR="00667D41" w:rsidRPr="00D56B79">
          <w:rPr>
            <w:rStyle w:val="Hyperkobling"/>
            <w:rFonts w:ascii="Arial" w:hAnsi="Arial" w:cs="Arial"/>
          </w:rPr>
          <w:t>Diskrimineringsnemnda</w:t>
        </w:r>
      </w:hyperlink>
      <w:r w:rsidR="00667D41" w:rsidRPr="002C47B4">
        <w:rPr>
          <w:rFonts w:ascii="Arial" w:hAnsi="Arial" w:cs="Arial"/>
        </w:rPr>
        <w:t xml:space="preserve"> </w:t>
      </w:r>
      <w:r w:rsidR="00546952">
        <w:rPr>
          <w:rFonts w:ascii="Arial" w:hAnsi="Arial" w:cs="Arial"/>
        </w:rPr>
        <w:t>skal</w:t>
      </w:r>
      <w:r w:rsidR="00667D41" w:rsidRPr="002C47B4">
        <w:rPr>
          <w:rFonts w:ascii="Arial" w:hAnsi="Arial" w:cs="Arial"/>
        </w:rPr>
        <w:t xml:space="preserve"> håndheve bestemmelsene i likestillings- og diskriminerings-lovgivningen. </w:t>
      </w:r>
    </w:p>
    <w:p w14:paraId="53B14BEE" w14:textId="77777777" w:rsidR="00667D41" w:rsidRDefault="00667D41" w:rsidP="005A2CF5">
      <w:pPr>
        <w:rPr>
          <w:rFonts w:ascii="Arial" w:hAnsi="Arial" w:cs="Arial"/>
        </w:rPr>
      </w:pPr>
    </w:p>
    <w:p w14:paraId="53BAC0AD" w14:textId="77777777" w:rsidR="00667D41" w:rsidRPr="005812DA" w:rsidRDefault="00667D41" w:rsidP="00667D41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002060"/>
          <w:sz w:val="48"/>
          <w:szCs w:val="48"/>
          <w:lang w:eastAsia="nb-NO"/>
        </w:rPr>
      </w:pPr>
      <w:r w:rsidRPr="005812DA">
        <w:rPr>
          <w:rFonts w:ascii="Arial" w:eastAsia="Times New Roman" w:hAnsi="Arial" w:cs="Arial"/>
          <w:noProof/>
          <w:color w:val="002060"/>
          <w:sz w:val="48"/>
          <w:szCs w:val="48"/>
          <w:lang w:eastAsia="nb-NO"/>
        </w:rPr>
        <w:lastRenderedPageBreak/>
        <w:drawing>
          <wp:anchor distT="0" distB="0" distL="114300" distR="114300" simplePos="0" relativeHeight="251661312" behindDoc="0" locked="0" layoutInCell="1" allowOverlap="1" wp14:anchorId="1129E1C6" wp14:editId="0EC71A29">
            <wp:simplePos x="0" y="0"/>
            <wp:positionH relativeFrom="column">
              <wp:posOffset>4108450</wp:posOffset>
            </wp:positionH>
            <wp:positionV relativeFrom="paragraph">
              <wp:posOffset>-309245</wp:posOffset>
            </wp:positionV>
            <wp:extent cx="1802130" cy="466090"/>
            <wp:effectExtent l="0" t="0" r="7620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2DA">
        <w:rPr>
          <w:rFonts w:ascii="Arial" w:eastAsia="Times New Roman" w:hAnsi="Arial" w:cs="Arial"/>
          <w:color w:val="002060"/>
          <w:sz w:val="48"/>
          <w:szCs w:val="48"/>
          <w:lang w:eastAsia="nb-NO"/>
        </w:rPr>
        <w:t xml:space="preserve">Hva sier forskningen? </w:t>
      </w:r>
    </w:p>
    <w:p w14:paraId="3E7E972C" w14:textId="77777777" w:rsidR="00667D41" w:rsidRDefault="00667D41" w:rsidP="005A2CF5">
      <w:pPr>
        <w:rPr>
          <w:rFonts w:ascii="Arial" w:hAnsi="Arial" w:cs="Arial"/>
        </w:rPr>
      </w:pPr>
    </w:p>
    <w:p w14:paraId="197A4329" w14:textId="77777777" w:rsidR="00667D41" w:rsidRDefault="00667D41" w:rsidP="005A2CF5">
      <w:pPr>
        <w:rPr>
          <w:rFonts w:ascii="Arial" w:hAnsi="Arial" w:cs="Arial"/>
        </w:rPr>
      </w:pPr>
    </w:p>
    <w:p w14:paraId="026F3D03" w14:textId="77777777" w:rsidR="00694C88" w:rsidRPr="005A2CF5" w:rsidRDefault="00BD4027" w:rsidP="005A2CF5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5A2CF5">
        <w:rPr>
          <w:rFonts w:ascii="Arial" w:hAnsi="Arial" w:cs="Arial"/>
          <w:b/>
        </w:rPr>
        <w:t>Personer med nedsatt funksjonsevne</w:t>
      </w:r>
      <w:r w:rsidR="00694C88" w:rsidRPr="005A2CF5">
        <w:rPr>
          <w:rFonts w:ascii="Arial" w:hAnsi="Arial" w:cs="Arial"/>
          <w:b/>
        </w:rPr>
        <w:t xml:space="preserve"> er ikke likestilt </w:t>
      </w:r>
    </w:p>
    <w:p w14:paraId="008449A7" w14:textId="4B0657BF" w:rsidR="00936E50" w:rsidRDefault="00D65E47" w:rsidP="00936E50">
      <w:pPr>
        <w:rPr>
          <w:rFonts w:ascii="Arial" w:hAnsi="Arial" w:cs="Arial"/>
        </w:rPr>
      </w:pPr>
      <w:r w:rsidRPr="002C47B4">
        <w:rPr>
          <w:rFonts w:ascii="Arial" w:hAnsi="Arial" w:cs="Arial"/>
        </w:rPr>
        <w:t>F</w:t>
      </w:r>
      <w:r w:rsidR="00694C88" w:rsidRPr="002C47B4">
        <w:rPr>
          <w:rFonts w:ascii="Arial" w:hAnsi="Arial" w:cs="Arial"/>
        </w:rPr>
        <w:t xml:space="preserve">unksjonshemmede </w:t>
      </w:r>
      <w:r w:rsidRPr="002C47B4">
        <w:rPr>
          <w:rFonts w:ascii="Arial" w:hAnsi="Arial" w:cs="Arial"/>
        </w:rPr>
        <w:t xml:space="preserve">møter </w:t>
      </w:r>
      <w:r w:rsidR="007D7764">
        <w:rPr>
          <w:rFonts w:ascii="Arial" w:hAnsi="Arial" w:cs="Arial"/>
        </w:rPr>
        <w:t xml:space="preserve">fortsatt </w:t>
      </w:r>
      <w:r w:rsidR="00694C88" w:rsidRPr="002C47B4">
        <w:rPr>
          <w:rFonts w:ascii="Arial" w:hAnsi="Arial" w:cs="Arial"/>
        </w:rPr>
        <w:t xml:space="preserve">mange fordommer </w:t>
      </w:r>
      <w:r w:rsidR="007D7764">
        <w:rPr>
          <w:rFonts w:ascii="Arial" w:hAnsi="Arial" w:cs="Arial"/>
        </w:rPr>
        <w:t xml:space="preserve">og barrierer, </w:t>
      </w:r>
      <w:r w:rsidR="00694C88" w:rsidRPr="002C47B4">
        <w:rPr>
          <w:rFonts w:ascii="Arial" w:hAnsi="Arial" w:cs="Arial"/>
        </w:rPr>
        <w:t>og blir forskjellsbehandlet og utestengt fra ulike arenaer.</w:t>
      </w:r>
      <w:r w:rsidR="00936E50">
        <w:rPr>
          <w:rFonts w:ascii="Arial" w:hAnsi="Arial" w:cs="Arial"/>
        </w:rPr>
        <w:t xml:space="preserve"> Diskrimineringen </w:t>
      </w:r>
      <w:r w:rsidR="00E27C22">
        <w:rPr>
          <w:rFonts w:ascii="Arial" w:hAnsi="Arial" w:cs="Arial"/>
        </w:rPr>
        <w:t>av</w:t>
      </w:r>
      <w:r w:rsidR="00936E50">
        <w:rPr>
          <w:rFonts w:ascii="Arial" w:hAnsi="Arial" w:cs="Arial"/>
        </w:rPr>
        <w:t xml:space="preserve"> </w:t>
      </w:r>
      <w:r w:rsidR="00E27C22">
        <w:rPr>
          <w:rFonts w:ascii="Arial" w:hAnsi="Arial" w:cs="Arial"/>
        </w:rPr>
        <w:t xml:space="preserve">personer med </w:t>
      </w:r>
      <w:r w:rsidR="008B1141">
        <w:rPr>
          <w:rFonts w:ascii="Arial" w:hAnsi="Arial" w:cs="Arial"/>
        </w:rPr>
        <w:t xml:space="preserve">funksjonsnedsettelse </w:t>
      </w:r>
      <w:r w:rsidR="00936E50">
        <w:rPr>
          <w:rFonts w:ascii="Arial" w:hAnsi="Arial" w:cs="Arial"/>
        </w:rPr>
        <w:t>er lite dokumentert. Men konsekvense</w:t>
      </w:r>
      <w:r w:rsidR="00542159">
        <w:rPr>
          <w:rFonts w:ascii="Arial" w:hAnsi="Arial" w:cs="Arial"/>
        </w:rPr>
        <w:t>r</w:t>
      </w:r>
      <w:r w:rsidR="00936E50">
        <w:rPr>
          <w:rFonts w:ascii="Arial" w:hAnsi="Arial" w:cs="Arial"/>
        </w:rPr>
        <w:t xml:space="preserve"> av den kan vi </w:t>
      </w:r>
      <w:r w:rsidR="008B5566">
        <w:rPr>
          <w:rFonts w:ascii="Arial" w:hAnsi="Arial" w:cs="Arial"/>
        </w:rPr>
        <w:t>se</w:t>
      </w:r>
      <w:r w:rsidR="00936E50">
        <w:rPr>
          <w:rFonts w:ascii="Arial" w:hAnsi="Arial" w:cs="Arial"/>
        </w:rPr>
        <w:t xml:space="preserve"> på levekårsstatus</w:t>
      </w:r>
      <w:r w:rsidR="008B5566">
        <w:rPr>
          <w:rFonts w:ascii="Arial" w:hAnsi="Arial" w:cs="Arial"/>
        </w:rPr>
        <w:t>:</w:t>
      </w:r>
    </w:p>
    <w:p w14:paraId="16E97C5C" w14:textId="77777777" w:rsidR="00936E50" w:rsidRDefault="00936E50" w:rsidP="00FF2351">
      <w:pPr>
        <w:rPr>
          <w:rFonts w:ascii="Arial" w:hAnsi="Arial" w:cs="Arial"/>
        </w:rPr>
      </w:pPr>
    </w:p>
    <w:p w14:paraId="1654903E" w14:textId="77777777" w:rsidR="00013043" w:rsidRPr="007D7764" w:rsidRDefault="0084387A" w:rsidP="00694C88">
      <w:pPr>
        <w:rPr>
          <w:rFonts w:ascii="Arial" w:hAnsi="Arial" w:cs="Arial"/>
          <w:u w:val="single"/>
        </w:rPr>
      </w:pPr>
      <w:r w:rsidRPr="007D7764">
        <w:rPr>
          <w:rFonts w:ascii="Arial" w:hAnsi="Arial" w:cs="Arial"/>
          <w:u w:val="single"/>
        </w:rPr>
        <w:t>Arbeid:</w:t>
      </w:r>
    </w:p>
    <w:p w14:paraId="452E648D" w14:textId="77777777" w:rsidR="007D7764" w:rsidRPr="002C47B4" w:rsidRDefault="00D65E47" w:rsidP="00694C88">
      <w:pPr>
        <w:rPr>
          <w:rFonts w:ascii="Arial" w:hAnsi="Arial" w:cs="Arial"/>
        </w:rPr>
      </w:pPr>
      <w:r w:rsidRPr="002C47B4">
        <w:rPr>
          <w:rFonts w:ascii="Arial" w:hAnsi="Arial" w:cs="Arial"/>
        </w:rPr>
        <w:t>M</w:t>
      </w:r>
      <w:r w:rsidR="007D7764">
        <w:rPr>
          <w:rFonts w:ascii="Arial" w:hAnsi="Arial" w:cs="Arial"/>
        </w:rPr>
        <w:t>ange funksjonshemmede</w:t>
      </w:r>
      <w:r w:rsidR="00694C88" w:rsidRPr="002C47B4">
        <w:rPr>
          <w:rFonts w:ascii="Arial" w:hAnsi="Arial" w:cs="Arial"/>
        </w:rPr>
        <w:t xml:space="preserve"> står utenfor arbeidslivet, til tross for at de ønsker å jobbe. SSBs Arbeidskraftundersøkelse fra 2016 viste</w:t>
      </w:r>
      <w:r w:rsidR="00BD4027" w:rsidRPr="002C47B4">
        <w:rPr>
          <w:rFonts w:ascii="Arial" w:hAnsi="Arial" w:cs="Arial"/>
        </w:rPr>
        <w:t xml:space="preserve"> at bare 43%</w:t>
      </w:r>
      <w:r w:rsidR="00694C88" w:rsidRPr="002C47B4">
        <w:rPr>
          <w:rFonts w:ascii="Arial" w:hAnsi="Arial" w:cs="Arial"/>
        </w:rPr>
        <w:t xml:space="preserve"> av funksjonshemmede i alderen 15-66 år var i arbeid i 2015, mot 73</w:t>
      </w:r>
      <w:r w:rsidR="00BD4027" w:rsidRPr="002C47B4">
        <w:rPr>
          <w:rFonts w:ascii="Arial" w:hAnsi="Arial" w:cs="Arial"/>
        </w:rPr>
        <w:t xml:space="preserve">% </w:t>
      </w:r>
      <w:r w:rsidR="00694C88" w:rsidRPr="002C47B4">
        <w:rPr>
          <w:rFonts w:ascii="Arial" w:hAnsi="Arial" w:cs="Arial"/>
        </w:rPr>
        <w:t xml:space="preserve">av befolkningen for øvrig. </w:t>
      </w:r>
      <w:r w:rsidR="000A39F5" w:rsidRPr="002C47B4">
        <w:rPr>
          <w:rFonts w:ascii="Arial" w:hAnsi="Arial" w:cs="Arial"/>
        </w:rPr>
        <w:t>41 % av sysselsatte med nedsatt funksjonsevne arbeider deltid, mot 24 % i befolkningen generelt. De fleste av disse er kvinner</w:t>
      </w:r>
      <w:r w:rsidR="007D7764">
        <w:rPr>
          <w:rFonts w:ascii="Arial" w:hAnsi="Arial" w:cs="Arial"/>
        </w:rPr>
        <w:t>.</w:t>
      </w:r>
      <w:r w:rsidR="007D7764" w:rsidRPr="007D7764">
        <w:t xml:space="preserve"> </w:t>
      </w:r>
      <w:hyperlink r:id="rId14" w:history="1">
        <w:r w:rsidR="007D7764" w:rsidRPr="005760B3">
          <w:rPr>
            <w:rStyle w:val="Hyperkobling"/>
            <w:rFonts w:ascii="Arial" w:hAnsi="Arial" w:cs="Arial"/>
          </w:rPr>
          <w:t>https://www.ssb.no/arbeid-og-lonn/statistikker/akutu/aar</w:t>
        </w:r>
      </w:hyperlink>
      <w:r w:rsidR="007D7764">
        <w:rPr>
          <w:rFonts w:ascii="Arial" w:hAnsi="Arial" w:cs="Arial"/>
        </w:rPr>
        <w:t xml:space="preserve"> </w:t>
      </w:r>
    </w:p>
    <w:p w14:paraId="1FD460BF" w14:textId="77777777" w:rsidR="00EA6AE9" w:rsidRDefault="00EA6AE9" w:rsidP="00694C88">
      <w:pPr>
        <w:rPr>
          <w:rFonts w:ascii="Arial" w:hAnsi="Arial" w:cs="Arial"/>
          <w:u w:val="single"/>
        </w:rPr>
      </w:pPr>
    </w:p>
    <w:p w14:paraId="31904BF7" w14:textId="77777777" w:rsidR="0084387A" w:rsidRPr="009A5D82" w:rsidRDefault="0084387A" w:rsidP="00694C88">
      <w:pPr>
        <w:rPr>
          <w:rFonts w:ascii="Arial" w:hAnsi="Arial" w:cs="Arial"/>
          <w:u w:val="single"/>
        </w:rPr>
      </w:pPr>
      <w:r w:rsidRPr="009A5D82">
        <w:rPr>
          <w:rFonts w:ascii="Arial" w:hAnsi="Arial" w:cs="Arial"/>
          <w:u w:val="single"/>
        </w:rPr>
        <w:t>Utdanning:</w:t>
      </w:r>
    </w:p>
    <w:p w14:paraId="07BF0EA3" w14:textId="77777777" w:rsidR="00EA6AE9" w:rsidRDefault="00694C88" w:rsidP="00694C88">
      <w:pPr>
        <w:rPr>
          <w:rStyle w:val="Hyperkobling"/>
          <w:rFonts w:ascii="Arial" w:hAnsi="Arial" w:cs="Arial"/>
        </w:rPr>
      </w:pPr>
      <w:r w:rsidRPr="002C47B4">
        <w:rPr>
          <w:rFonts w:ascii="Arial" w:hAnsi="Arial" w:cs="Arial"/>
        </w:rPr>
        <w:t>Det er en langt høyere andel av personer med nedsatt funksjonsevne som bare fullførte grunnskoleutdanning sammenlignet med nivåe</w:t>
      </w:r>
      <w:r w:rsidR="009A5D82">
        <w:rPr>
          <w:rFonts w:ascii="Arial" w:hAnsi="Arial" w:cs="Arial"/>
        </w:rPr>
        <w:t xml:space="preserve">t i befolkningen (64% mot 17%). </w:t>
      </w:r>
      <w:hyperlink r:id="rId15" w:history="1">
        <w:r w:rsidR="009A5D82" w:rsidRPr="005760B3">
          <w:rPr>
            <w:rStyle w:val="Hyperkobling"/>
            <w:rFonts w:ascii="Arial" w:hAnsi="Arial" w:cs="Arial"/>
          </w:rPr>
          <w:t>https://forskning.no/barn-og-ungdom-skole-og-utdanning/2014/01/overraskende-fa-funksjonshemmede-fullforer-videregaende</w:t>
        </w:r>
      </w:hyperlink>
    </w:p>
    <w:p w14:paraId="47A136C4" w14:textId="77777777" w:rsidR="005B1CC5" w:rsidRPr="00EA6AE9" w:rsidRDefault="005B1CC5" w:rsidP="00694C88">
      <w:pPr>
        <w:rPr>
          <w:rFonts w:ascii="Arial" w:hAnsi="Arial" w:cs="Arial"/>
        </w:rPr>
      </w:pPr>
    </w:p>
    <w:p w14:paraId="0EBED5D9" w14:textId="77777777" w:rsidR="0084387A" w:rsidRPr="009A5D82" w:rsidRDefault="009A5D82" w:rsidP="00694C88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Livskvalitet:</w:t>
      </w:r>
    </w:p>
    <w:p w14:paraId="4A1E94BD" w14:textId="77777777" w:rsidR="00694C88" w:rsidRDefault="00BD4027" w:rsidP="00694C88">
      <w:pPr>
        <w:rPr>
          <w:rStyle w:val="Hyperkobling"/>
          <w:rFonts w:ascii="Arial" w:hAnsi="Arial" w:cs="Arial"/>
        </w:rPr>
      </w:pPr>
      <w:r w:rsidRPr="002C47B4">
        <w:rPr>
          <w:rFonts w:ascii="Arial" w:hAnsi="Arial" w:cs="Arial"/>
        </w:rPr>
        <w:t>Bare 40%</w:t>
      </w:r>
      <w:r w:rsidR="00694C88" w:rsidRPr="002C47B4">
        <w:rPr>
          <w:rFonts w:ascii="Arial" w:hAnsi="Arial" w:cs="Arial"/>
        </w:rPr>
        <w:t xml:space="preserve"> av unge funksjonshemmede er stort sett fornøyde med livet og </w:t>
      </w:r>
      <w:r w:rsidRPr="002C47B4">
        <w:rPr>
          <w:rFonts w:ascii="Arial" w:hAnsi="Arial" w:cs="Arial"/>
        </w:rPr>
        <w:t>synes</w:t>
      </w:r>
      <w:r w:rsidR="00694C88" w:rsidRPr="002C47B4">
        <w:rPr>
          <w:rFonts w:ascii="Arial" w:hAnsi="Arial" w:cs="Arial"/>
        </w:rPr>
        <w:t xml:space="preserve"> det de driver med er meningsfylt. Det er halvparten av tallet for rest</w:t>
      </w:r>
      <w:r w:rsidR="009A5D82">
        <w:rPr>
          <w:rFonts w:ascii="Arial" w:hAnsi="Arial" w:cs="Arial"/>
        </w:rPr>
        <w:t xml:space="preserve">en av befolkningen. </w:t>
      </w:r>
      <w:hyperlink r:id="rId16" w:history="1">
        <w:r w:rsidR="009A5D82" w:rsidRPr="005760B3">
          <w:rPr>
            <w:rStyle w:val="Hyperkobling"/>
            <w:rFonts w:ascii="Arial" w:hAnsi="Arial" w:cs="Arial"/>
          </w:rPr>
          <w:t>https://www.ssb.no/helse/artikler-og-publikasjoner/unge-med-nedsatt-funksjonsevne-har-darligere-livskvalitet</w:t>
        </w:r>
      </w:hyperlink>
    </w:p>
    <w:p w14:paraId="123CE543" w14:textId="77777777" w:rsidR="005B1CC5" w:rsidRDefault="005B1CC5" w:rsidP="00694C88">
      <w:pPr>
        <w:rPr>
          <w:rFonts w:ascii="Arial" w:hAnsi="Arial" w:cs="Arial"/>
        </w:rPr>
      </w:pPr>
    </w:p>
    <w:p w14:paraId="45340392" w14:textId="77777777" w:rsidR="009A5D82" w:rsidRPr="00EA6AE9" w:rsidRDefault="00BE3A29" w:rsidP="00694C88">
      <w:pPr>
        <w:rPr>
          <w:rFonts w:ascii="Arial" w:hAnsi="Arial" w:cs="Arial"/>
          <w:u w:val="single"/>
        </w:rPr>
      </w:pPr>
      <w:r w:rsidRPr="00EA6AE9">
        <w:rPr>
          <w:rFonts w:ascii="Arial" w:hAnsi="Arial" w:cs="Arial"/>
          <w:u w:val="single"/>
        </w:rPr>
        <w:t>Tilgjengelighet:</w:t>
      </w:r>
    </w:p>
    <w:p w14:paraId="7779D5C5" w14:textId="77777777" w:rsidR="0084387A" w:rsidRDefault="00BE3A29" w:rsidP="00413E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Langt færre personer med nedsatt funksjonsevne er </w:t>
      </w:r>
      <w:r w:rsidR="00EA6AE9">
        <w:rPr>
          <w:rFonts w:ascii="Arial" w:hAnsi="Arial" w:cs="Arial"/>
        </w:rPr>
        <w:t>sosialt og fysisk aktive fordi d</w:t>
      </w:r>
      <w:r w:rsidRPr="00BE3A29">
        <w:rPr>
          <w:rFonts w:ascii="Arial" w:hAnsi="Arial" w:cs="Arial"/>
        </w:rPr>
        <w:t xml:space="preserve">et mangler tilbud som er tilpasset den enkeltes forutsetninger eller at det er </w:t>
      </w:r>
      <w:r w:rsidR="00063921">
        <w:rPr>
          <w:rFonts w:ascii="Arial" w:hAnsi="Arial" w:cs="Arial"/>
        </w:rPr>
        <w:t xml:space="preserve">fysiske eller sosiale barrierer </w:t>
      </w:r>
      <w:r w:rsidRPr="00BE3A29">
        <w:rPr>
          <w:rFonts w:ascii="Arial" w:hAnsi="Arial" w:cs="Arial"/>
        </w:rPr>
        <w:t>som gjør det vanskelig eller umulig for den enkelte å delta.</w:t>
      </w:r>
      <w:r w:rsidR="00EA6AE9">
        <w:rPr>
          <w:rFonts w:ascii="Arial" w:hAnsi="Arial" w:cs="Arial"/>
        </w:rPr>
        <w:t xml:space="preserve"> </w:t>
      </w:r>
      <w:hyperlink r:id="rId17" w:history="1">
        <w:r w:rsidR="00EA6AE9" w:rsidRPr="005760B3">
          <w:rPr>
            <w:rStyle w:val="Hyperkobling"/>
            <w:rFonts w:ascii="Arial" w:hAnsi="Arial" w:cs="Arial"/>
          </w:rPr>
          <w:t>https://www.ssb.no/helse/artikler-og-publikasjoner/_attachment/99595?_ts=13d1b366718</w:t>
        </w:r>
      </w:hyperlink>
      <w:r w:rsidR="00EA6AE9">
        <w:rPr>
          <w:rFonts w:ascii="Arial" w:hAnsi="Arial" w:cs="Arial"/>
        </w:rPr>
        <w:t xml:space="preserve"> </w:t>
      </w:r>
    </w:p>
    <w:p w14:paraId="180AEFB0" w14:textId="77777777" w:rsidR="00EA6AE9" w:rsidRPr="00EA6AE9" w:rsidRDefault="00EA6AE9" w:rsidP="00413E34">
      <w:pPr>
        <w:rPr>
          <w:rFonts w:ascii="Arial" w:hAnsi="Arial" w:cs="Arial"/>
        </w:rPr>
      </w:pPr>
    </w:p>
    <w:p w14:paraId="7699F5FF" w14:textId="77777777" w:rsidR="005A2CF5" w:rsidRDefault="005A2CF5" w:rsidP="00A32CE0">
      <w:pPr>
        <w:rPr>
          <w:rFonts w:ascii="Arial" w:hAnsi="Arial" w:cs="Arial"/>
        </w:rPr>
      </w:pPr>
    </w:p>
    <w:p w14:paraId="0B7F2749" w14:textId="77777777" w:rsidR="00E33A15" w:rsidRPr="002C47B4" w:rsidRDefault="005B1CC5" w:rsidP="001A63BB">
      <w:pPr>
        <w:rPr>
          <w:rFonts w:ascii="Arial" w:hAnsi="Arial" w:cs="Arial"/>
        </w:rPr>
      </w:pPr>
      <w:r>
        <w:rPr>
          <w:rFonts w:ascii="Arial" w:hAnsi="Arial" w:cs="Arial"/>
        </w:rPr>
        <w:t xml:space="preserve">SAFO - </w:t>
      </w:r>
      <w:r w:rsidR="007642C7" w:rsidRPr="002C47B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amarbeidsforumet av Funksjonshemmedes organisasjoner, </w:t>
      </w:r>
      <w:r w:rsidR="007642C7" w:rsidRPr="002C47B4">
        <w:rPr>
          <w:rFonts w:ascii="Arial" w:hAnsi="Arial" w:cs="Arial"/>
        </w:rPr>
        <w:t>2018</w:t>
      </w:r>
    </w:p>
    <w:sectPr w:rsidR="00E33A15" w:rsidRPr="002C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7553"/>
    <w:multiLevelType w:val="hybridMultilevel"/>
    <w:tmpl w:val="5282B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14C34"/>
    <w:multiLevelType w:val="hybridMultilevel"/>
    <w:tmpl w:val="DC3448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7F"/>
    <w:rsid w:val="00013043"/>
    <w:rsid w:val="00063921"/>
    <w:rsid w:val="00070AA3"/>
    <w:rsid w:val="000911FC"/>
    <w:rsid w:val="000A1322"/>
    <w:rsid w:val="000A39F5"/>
    <w:rsid w:val="000D2F07"/>
    <w:rsid w:val="000F1744"/>
    <w:rsid w:val="00114A2F"/>
    <w:rsid w:val="00120F73"/>
    <w:rsid w:val="0018142F"/>
    <w:rsid w:val="001A63BB"/>
    <w:rsid w:val="001C5B0D"/>
    <w:rsid w:val="001D08C0"/>
    <w:rsid w:val="001D1503"/>
    <w:rsid w:val="002019AB"/>
    <w:rsid w:val="00234AAD"/>
    <w:rsid w:val="002A43E2"/>
    <w:rsid w:val="002C47B4"/>
    <w:rsid w:val="00340B2C"/>
    <w:rsid w:val="003844EF"/>
    <w:rsid w:val="00396620"/>
    <w:rsid w:val="003B3C67"/>
    <w:rsid w:val="00413E34"/>
    <w:rsid w:val="004375B7"/>
    <w:rsid w:val="00453725"/>
    <w:rsid w:val="00490B02"/>
    <w:rsid w:val="004B31E1"/>
    <w:rsid w:val="00542159"/>
    <w:rsid w:val="00546952"/>
    <w:rsid w:val="00560E73"/>
    <w:rsid w:val="00567C9C"/>
    <w:rsid w:val="00585FC8"/>
    <w:rsid w:val="005A2CF5"/>
    <w:rsid w:val="005B1CC5"/>
    <w:rsid w:val="00600DEA"/>
    <w:rsid w:val="00606DC5"/>
    <w:rsid w:val="006302E0"/>
    <w:rsid w:val="00653B37"/>
    <w:rsid w:val="00667D41"/>
    <w:rsid w:val="00694C88"/>
    <w:rsid w:val="00696A06"/>
    <w:rsid w:val="006D6E0B"/>
    <w:rsid w:val="006E7A5C"/>
    <w:rsid w:val="00703B88"/>
    <w:rsid w:val="007642C7"/>
    <w:rsid w:val="00777118"/>
    <w:rsid w:val="007A2F3E"/>
    <w:rsid w:val="007D7764"/>
    <w:rsid w:val="007E3BC9"/>
    <w:rsid w:val="0081296E"/>
    <w:rsid w:val="0084387A"/>
    <w:rsid w:val="00893E47"/>
    <w:rsid w:val="008B1141"/>
    <w:rsid w:val="008B5566"/>
    <w:rsid w:val="008C0D01"/>
    <w:rsid w:val="00936E50"/>
    <w:rsid w:val="009434BA"/>
    <w:rsid w:val="00950A5D"/>
    <w:rsid w:val="00973DD8"/>
    <w:rsid w:val="009A5D82"/>
    <w:rsid w:val="00A32CE0"/>
    <w:rsid w:val="00AB225B"/>
    <w:rsid w:val="00AF5E67"/>
    <w:rsid w:val="00AF70AC"/>
    <w:rsid w:val="00B23A33"/>
    <w:rsid w:val="00B40026"/>
    <w:rsid w:val="00B45BC3"/>
    <w:rsid w:val="00BB5E6C"/>
    <w:rsid w:val="00BB6359"/>
    <w:rsid w:val="00BD4027"/>
    <w:rsid w:val="00BE3A29"/>
    <w:rsid w:val="00BF7253"/>
    <w:rsid w:val="00C25FC8"/>
    <w:rsid w:val="00C43760"/>
    <w:rsid w:val="00C54B61"/>
    <w:rsid w:val="00C648B6"/>
    <w:rsid w:val="00C94600"/>
    <w:rsid w:val="00D51579"/>
    <w:rsid w:val="00D54F1D"/>
    <w:rsid w:val="00D56B79"/>
    <w:rsid w:val="00D65E47"/>
    <w:rsid w:val="00D72CF0"/>
    <w:rsid w:val="00E01705"/>
    <w:rsid w:val="00E120E1"/>
    <w:rsid w:val="00E27C22"/>
    <w:rsid w:val="00E33A15"/>
    <w:rsid w:val="00E4307F"/>
    <w:rsid w:val="00E54545"/>
    <w:rsid w:val="00E6123D"/>
    <w:rsid w:val="00E979AD"/>
    <w:rsid w:val="00EA6AE9"/>
    <w:rsid w:val="00EC49B8"/>
    <w:rsid w:val="00ED58D4"/>
    <w:rsid w:val="00EF72C1"/>
    <w:rsid w:val="00F87F41"/>
    <w:rsid w:val="00FA48ED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AE41"/>
  <w15:chartTrackingRefBased/>
  <w15:docId w15:val="{C1F5D867-6A3D-4C08-A238-22EA8C4A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4307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A32CE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12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1296E"/>
    <w:rPr>
      <w:rFonts w:ascii="Segoe UI" w:hAnsi="Segoe UI" w:cs="Segoe UI"/>
      <w:sz w:val="18"/>
      <w:szCs w:val="18"/>
    </w:rPr>
  </w:style>
  <w:style w:type="paragraph" w:customStyle="1" w:styleId="mortaga">
    <w:name w:val="mortag_a"/>
    <w:basedOn w:val="Normal"/>
    <w:rsid w:val="00AF5E67"/>
    <w:pPr>
      <w:spacing w:after="158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B5E6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B5E6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B5E6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B5E6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B5E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684004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4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5542">
                      <w:marLeft w:val="2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1028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64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6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83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2017-06-16-51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NL/lov/2017-06-16-51" TargetMode="External"/><Relationship Id="rId12" Type="http://schemas.openxmlformats.org/officeDocument/2006/relationships/hyperlink" Target="http://www.diskrimineringsnemnda.no/nb/innhold/side/forside" TargetMode="External"/><Relationship Id="rId17" Type="http://schemas.openxmlformats.org/officeDocument/2006/relationships/hyperlink" Target="https://www.ssb.no/helse/artikler-og-publikasjoner/_attachment/99595?_ts=13d1b3667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sb.no/helse/artikler-og-publikasjoner/unge-med-nedsatt-funksjonsevne-har-darligere-livskvalite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egjeringen.no/globalassets/upload/bld/sla/funk/konvensjon_web.pdf" TargetMode="External"/><Relationship Id="rId11" Type="http://schemas.openxmlformats.org/officeDocument/2006/relationships/hyperlink" Target="http://www.ldo.no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orskning.no/barn-og-ungdom-skole-og-utdanning/2014/01/overraskende-fa-funksjonshemmede-fullforer-videregaende" TargetMode="External"/><Relationship Id="rId10" Type="http://schemas.openxmlformats.org/officeDocument/2006/relationships/hyperlink" Target="https://www.bufdir.no/Inkludering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regjeringen.no/no/dep/kud/id545/" TargetMode="External"/><Relationship Id="rId14" Type="http://schemas.openxmlformats.org/officeDocument/2006/relationships/hyperlink" Target="https://www.ssb.no/arbeid-og-lonn/statistikker/akutu/aar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866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T. Strøm-Rasmussen</dc:creator>
  <cp:keywords/>
  <dc:description/>
  <cp:lastModifiedBy>Vigdis Endal</cp:lastModifiedBy>
  <cp:revision>3</cp:revision>
  <dcterms:created xsi:type="dcterms:W3CDTF">2018-11-07T14:59:00Z</dcterms:created>
  <dcterms:modified xsi:type="dcterms:W3CDTF">2019-07-04T15:00:00Z</dcterms:modified>
</cp:coreProperties>
</file>